
<file path=[Content_Types].xml><?xml version="1.0" encoding="utf-8"?>
<Types xmlns="http://schemas.openxmlformats.org/package/2006/content-types"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59" w:rsidRPr="005741A2" w:rsidRDefault="005741A2">
      <w:pPr>
        <w:rPr>
          <w:b/>
        </w:rPr>
      </w:pPr>
      <w:r w:rsidRPr="005741A2">
        <w:rPr>
          <w:b/>
        </w:rPr>
        <w:t>Zasoby leśne</w:t>
      </w:r>
      <w:r>
        <w:rPr>
          <w:b/>
        </w:rPr>
        <w:t xml:space="preserve"> Nadleśnictwa Jagiełek</w:t>
      </w:r>
    </w:p>
    <w:p w:rsidR="005741A2" w:rsidRDefault="005741A2">
      <w:pPr>
        <w:rPr>
          <w:b/>
          <w:bCs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180340</wp:posOffset>
            </wp:positionV>
            <wp:extent cx="5969000" cy="31686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1A2">
        <w:rPr>
          <w:b/>
          <w:bCs/>
        </w:rPr>
        <w:t xml:space="preserve">Procentowy udział powierzchni </w:t>
      </w:r>
      <w:proofErr w:type="spellStart"/>
      <w:r w:rsidRPr="005741A2">
        <w:rPr>
          <w:b/>
          <w:bCs/>
        </w:rPr>
        <w:t>leśnej</w:t>
      </w:r>
      <w:proofErr w:type="spellEnd"/>
      <w:r w:rsidRPr="005741A2">
        <w:rPr>
          <w:b/>
          <w:bCs/>
        </w:rPr>
        <w:t>/nieleśnej Nadleśnictwa Jagiełek</w:t>
      </w:r>
    </w:p>
    <w:p w:rsidR="005741A2" w:rsidRDefault="005741A2"/>
    <w:p w:rsidR="005741A2" w:rsidRDefault="005741A2"/>
    <w:p w:rsidR="005741A2" w:rsidRDefault="005741A2"/>
    <w:p w:rsidR="005741A2" w:rsidRDefault="005741A2"/>
    <w:p w:rsidR="005741A2" w:rsidRDefault="005741A2"/>
    <w:p w:rsidR="005741A2" w:rsidRDefault="005741A2"/>
    <w:p w:rsidR="005741A2" w:rsidRDefault="005741A2"/>
    <w:p w:rsidR="005741A2" w:rsidRDefault="005741A2"/>
    <w:p w:rsidR="005741A2" w:rsidRDefault="005741A2"/>
    <w:p w:rsidR="005741A2" w:rsidRDefault="005741A2"/>
    <w:p w:rsidR="005741A2" w:rsidRDefault="005741A2">
      <w:pPr>
        <w:rPr>
          <w:b/>
          <w:bCs/>
        </w:rPr>
      </w:pPr>
      <w:r w:rsidRPr="005741A2">
        <w:rPr>
          <w:b/>
          <w:bCs/>
        </w:rPr>
        <w:t xml:space="preserve">Udział powierzchni typów siedliskowych </w:t>
      </w:r>
      <w:proofErr w:type="spellStart"/>
      <w:r w:rsidRPr="005741A2">
        <w:rPr>
          <w:b/>
          <w:bCs/>
        </w:rPr>
        <w:t>lasu</w:t>
      </w:r>
      <w:proofErr w:type="spellEnd"/>
      <w:r w:rsidRPr="005741A2">
        <w:rPr>
          <w:b/>
          <w:bCs/>
        </w:rPr>
        <w:t xml:space="preserve"> (%)</w:t>
      </w:r>
    </w:p>
    <w:p w:rsidR="005741A2" w:rsidRDefault="005741A2">
      <w:r w:rsidRPr="005741A2">
        <w:drawing>
          <wp:inline distT="0" distB="0" distL="0" distR="0">
            <wp:extent cx="5760720" cy="3212309"/>
            <wp:effectExtent l="1905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741A2" w:rsidRDefault="005741A2">
      <w:pPr>
        <w:rPr>
          <w:b/>
          <w:bCs/>
        </w:rPr>
      </w:pPr>
    </w:p>
    <w:p w:rsidR="005741A2" w:rsidRDefault="005741A2">
      <w:pPr>
        <w:rPr>
          <w:b/>
          <w:bCs/>
        </w:rPr>
      </w:pPr>
    </w:p>
    <w:p w:rsidR="005741A2" w:rsidRDefault="005741A2">
      <w:pPr>
        <w:rPr>
          <w:b/>
          <w:bCs/>
        </w:rPr>
      </w:pPr>
    </w:p>
    <w:p w:rsidR="005741A2" w:rsidRDefault="005741A2">
      <w:pPr>
        <w:rPr>
          <w:b/>
          <w:bCs/>
        </w:rPr>
      </w:pPr>
    </w:p>
    <w:p w:rsidR="005741A2" w:rsidRDefault="005741A2">
      <w:pPr>
        <w:rPr>
          <w:b/>
          <w:bCs/>
        </w:rPr>
      </w:pPr>
      <w:r>
        <w:rPr>
          <w:b/>
          <w:bCs/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205105</wp:posOffset>
            </wp:positionV>
            <wp:extent cx="5683250" cy="40195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1A2">
        <w:rPr>
          <w:b/>
          <w:bCs/>
        </w:rPr>
        <w:t>Udział gatunków w powierzchni Nadleśnictwa Jagiełek</w:t>
      </w:r>
    </w:p>
    <w:p w:rsidR="005741A2" w:rsidRDefault="005741A2"/>
    <w:p w:rsidR="005741A2" w:rsidRDefault="005741A2"/>
    <w:p w:rsidR="005741A2" w:rsidRDefault="005741A2"/>
    <w:p w:rsidR="005741A2" w:rsidRDefault="005741A2"/>
    <w:p w:rsidR="005741A2" w:rsidRDefault="005741A2"/>
    <w:p w:rsidR="005741A2" w:rsidRDefault="005741A2"/>
    <w:p w:rsidR="005741A2" w:rsidRDefault="005741A2"/>
    <w:p w:rsidR="005741A2" w:rsidRDefault="005741A2"/>
    <w:p w:rsidR="005741A2" w:rsidRDefault="005741A2"/>
    <w:p w:rsidR="005741A2" w:rsidRDefault="005741A2"/>
    <w:p w:rsidR="005741A2" w:rsidRDefault="005741A2"/>
    <w:p w:rsidR="005741A2" w:rsidRDefault="005741A2"/>
    <w:p w:rsidR="005741A2" w:rsidRDefault="005741A2"/>
    <w:p w:rsidR="005741A2" w:rsidRDefault="005741A2"/>
    <w:sectPr w:rsidR="005741A2" w:rsidSect="001F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741A2"/>
    <w:rsid w:val="00065E9B"/>
    <w:rsid w:val="00100000"/>
    <w:rsid w:val="001F150E"/>
    <w:rsid w:val="004612CA"/>
    <w:rsid w:val="005741A2"/>
    <w:rsid w:val="0057490B"/>
    <w:rsid w:val="007E4205"/>
    <w:rsid w:val="009B0F89"/>
    <w:rsid w:val="00A63105"/>
    <w:rsid w:val="00B9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5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chart" Target="charts/chart1.xml"/><Relationship Id="rId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magdalena.polito\Pulpit\strona%20internetowa\wykres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dk2" tx1="lt1" bg2="dk1" tx2="lt2" accent1="accent1" accent2="accent2" accent3="accent3" accent4="accent4" accent5="accent5" accent6="accent6" hlink="hlink" folHlink="folHlink"/>
  <c:chart>
    <c:view3D>
      <c:hPercent val="6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E7BC29">
            <a:lumMod val="20000"/>
            <a:lumOff val="80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569726563719575E-2"/>
          <c:y val="3.7333333333333676E-2"/>
          <c:w val="0.86902375120167064"/>
          <c:h val="0.7546686319495689"/>
        </c:manualLayout>
      </c:layout>
      <c:bar3DChart>
        <c:barDir val="col"/>
        <c:grouping val="clustered"/>
        <c:ser>
          <c:idx val="0"/>
          <c:order val="0"/>
          <c:tx>
            <c:strRef>
              <c:f>Arkusz1!$A$3</c:f>
              <c:strCache>
                <c:ptCount val="1"/>
                <c:pt idx="0">
                  <c:v>BŚW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Arkusz1!$B$3</c:f>
              <c:numCache>
                <c:formatCode>General</c:formatCode>
                <c:ptCount val="1"/>
                <c:pt idx="0">
                  <c:v>31.650000000000031</c:v>
                </c:pt>
              </c:numCache>
            </c:numRef>
          </c:val>
        </c:ser>
        <c:ser>
          <c:idx val="1"/>
          <c:order val="1"/>
          <c:tx>
            <c:strRef>
              <c:f>Arkusz1!$A$4</c:f>
              <c:strCache>
                <c:ptCount val="1"/>
                <c:pt idx="0">
                  <c:v>BW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Arkusz1!$B$4</c:f>
              <c:numCache>
                <c:formatCode>General</c:formatCode>
                <c:ptCount val="1"/>
                <c:pt idx="0">
                  <c:v>0.65000000000000635</c:v>
                </c:pt>
              </c:numCache>
            </c:numRef>
          </c:val>
        </c:ser>
        <c:ser>
          <c:idx val="2"/>
          <c:order val="2"/>
          <c:tx>
            <c:strRef>
              <c:f>Arkusz1!$A$5</c:f>
              <c:strCache>
                <c:ptCount val="1"/>
                <c:pt idx="0">
                  <c:v>BB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Arkusz1!$B$5</c:f>
              <c:numCache>
                <c:formatCode>General</c:formatCode>
                <c:ptCount val="1"/>
                <c:pt idx="0">
                  <c:v>4.0000000000000112E-2</c:v>
                </c:pt>
              </c:numCache>
            </c:numRef>
          </c:val>
        </c:ser>
        <c:ser>
          <c:idx val="3"/>
          <c:order val="3"/>
          <c:tx>
            <c:strRef>
              <c:f>Arkusz1!$A$6</c:f>
              <c:strCache>
                <c:ptCount val="1"/>
                <c:pt idx="0">
                  <c:v>BMŚW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Arkusz1!$B$6</c:f>
              <c:numCache>
                <c:formatCode>General</c:formatCode>
                <c:ptCount val="1"/>
                <c:pt idx="0">
                  <c:v>47.78</c:v>
                </c:pt>
              </c:numCache>
            </c:numRef>
          </c:val>
        </c:ser>
        <c:ser>
          <c:idx val="4"/>
          <c:order val="4"/>
          <c:tx>
            <c:strRef>
              <c:f>Arkusz1!$A$7</c:f>
              <c:strCache>
                <c:ptCount val="1"/>
                <c:pt idx="0">
                  <c:v>BMW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Arkusz1!$B$7</c:f>
              <c:numCache>
                <c:formatCode>General</c:formatCode>
                <c:ptCount val="1"/>
                <c:pt idx="0">
                  <c:v>1.6300000000000001</c:v>
                </c:pt>
              </c:numCache>
            </c:numRef>
          </c:val>
        </c:ser>
        <c:ser>
          <c:idx val="5"/>
          <c:order val="5"/>
          <c:tx>
            <c:strRef>
              <c:f>Arkusz1!$A$8</c:f>
              <c:strCache>
                <c:ptCount val="1"/>
                <c:pt idx="0">
                  <c:v>BMB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Arkusz1!$B$8</c:f>
              <c:numCache>
                <c:formatCode>General</c:formatCode>
                <c:ptCount val="1"/>
                <c:pt idx="0">
                  <c:v>0.42000000000000032</c:v>
                </c:pt>
              </c:numCache>
            </c:numRef>
          </c:val>
        </c:ser>
        <c:ser>
          <c:idx val="6"/>
          <c:order val="6"/>
          <c:tx>
            <c:strRef>
              <c:f>Arkusz1!$A$9</c:f>
              <c:strCache>
                <c:ptCount val="1"/>
                <c:pt idx="0">
                  <c:v>LMŚW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Arkusz1!$B$9</c:f>
              <c:numCache>
                <c:formatCode>General</c:formatCode>
                <c:ptCount val="1"/>
                <c:pt idx="0">
                  <c:v>13.75</c:v>
                </c:pt>
              </c:numCache>
            </c:numRef>
          </c:val>
        </c:ser>
        <c:ser>
          <c:idx val="7"/>
          <c:order val="7"/>
          <c:tx>
            <c:strRef>
              <c:f>Arkusz1!$A$10</c:f>
              <c:strCache>
                <c:ptCount val="1"/>
                <c:pt idx="0">
                  <c:v>LMW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Arkusz1!$B$10</c:f>
              <c:numCache>
                <c:formatCode>General</c:formatCode>
                <c:ptCount val="1"/>
                <c:pt idx="0">
                  <c:v>0.48000000000000032</c:v>
                </c:pt>
              </c:numCache>
            </c:numRef>
          </c:val>
        </c:ser>
        <c:ser>
          <c:idx val="8"/>
          <c:order val="8"/>
          <c:tx>
            <c:strRef>
              <c:f>Arkusz1!$A$11</c:f>
              <c:strCache>
                <c:ptCount val="1"/>
                <c:pt idx="0">
                  <c:v>LBM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Arkusz1!$B$11</c:f>
              <c:numCache>
                <c:formatCode>General</c:formatCode>
                <c:ptCount val="1"/>
                <c:pt idx="0">
                  <c:v>9.0000000000000066E-2</c:v>
                </c:pt>
              </c:numCache>
            </c:numRef>
          </c:val>
        </c:ser>
        <c:ser>
          <c:idx val="9"/>
          <c:order val="9"/>
          <c:tx>
            <c:strRef>
              <c:f>Arkusz1!$A$12</c:f>
              <c:strCache>
                <c:ptCount val="1"/>
                <c:pt idx="0">
                  <c:v>LŚW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Arkusz1!$B$12</c:f>
              <c:numCache>
                <c:formatCode>General</c:formatCode>
                <c:ptCount val="1"/>
                <c:pt idx="0">
                  <c:v>1.02</c:v>
                </c:pt>
              </c:numCache>
            </c:numRef>
          </c:val>
        </c:ser>
        <c:ser>
          <c:idx val="10"/>
          <c:order val="10"/>
          <c:tx>
            <c:strRef>
              <c:f>Arkusz1!$A$13</c:f>
              <c:strCache>
                <c:ptCount val="1"/>
                <c:pt idx="0">
                  <c:v>LW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Arkusz1!$B$13</c:f>
              <c:numCache>
                <c:formatCode>General</c:formatCode>
                <c:ptCount val="1"/>
                <c:pt idx="0">
                  <c:v>8.0000000000000224E-2</c:v>
                </c:pt>
              </c:numCache>
            </c:numRef>
          </c:val>
        </c:ser>
        <c:ser>
          <c:idx val="11"/>
          <c:order val="11"/>
          <c:tx>
            <c:strRef>
              <c:f>Arkusz1!$A$14</c:f>
              <c:strCache>
                <c:ptCount val="1"/>
                <c:pt idx="0">
                  <c:v>OL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Arkusz1!$B$14</c:f>
              <c:numCache>
                <c:formatCode>General</c:formatCode>
                <c:ptCount val="1"/>
                <c:pt idx="0">
                  <c:v>2.27</c:v>
                </c:pt>
              </c:numCache>
            </c:numRef>
          </c:val>
        </c:ser>
        <c:ser>
          <c:idx val="12"/>
          <c:order val="12"/>
          <c:tx>
            <c:strRef>
              <c:f>Arkusz1!$A$15</c:f>
              <c:strCache>
                <c:ptCount val="1"/>
                <c:pt idx="0">
                  <c:v>OLJ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Arkusz1!$B$15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hape val="box"/>
        <c:axId val="143824000"/>
        <c:axId val="143843328"/>
        <c:axId val="0"/>
      </c:bar3DChart>
      <c:catAx>
        <c:axId val="143824000"/>
        <c:scaling>
          <c:orientation val="minMax"/>
        </c:scaling>
        <c:delete val="1"/>
        <c:axPos val="b"/>
        <c:tickLblPos val="none"/>
        <c:crossAx val="143843328"/>
        <c:crosses val="autoZero"/>
        <c:auto val="1"/>
        <c:lblAlgn val="ctr"/>
        <c:lblOffset val="100"/>
      </c:catAx>
      <c:valAx>
        <c:axId val="1438433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438240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2.4948050273732168E-2"/>
          <c:y val="0.8506688819502134"/>
          <c:w val="0.94594690621234467"/>
          <c:h val="0.12533365972307217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gap"/>
  </c:chart>
  <c:spPr>
    <a:solidFill>
      <a:srgbClr val="E7BC29">
        <a:lumMod val="60000"/>
        <a:lumOff val="40000"/>
      </a:srgbClr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Warstwy szkła 3">
    <a:dk1>
      <a:srgbClr val="56925A"/>
    </a:dk1>
    <a:lt1>
      <a:srgbClr val="FFFFFF"/>
    </a:lt1>
    <a:dk2>
      <a:srgbClr val="6FB56D"/>
    </a:dk2>
    <a:lt2>
      <a:srgbClr val="FFFFCC"/>
    </a:lt2>
    <a:accent1>
      <a:srgbClr val="2B877C"/>
    </a:accent1>
    <a:accent2>
      <a:srgbClr val="5A9A5F"/>
    </a:accent2>
    <a:accent3>
      <a:srgbClr val="BBD7BA"/>
    </a:accent3>
    <a:accent4>
      <a:srgbClr val="DADADA"/>
    </a:accent4>
    <a:accent5>
      <a:srgbClr val="ACC3BF"/>
    </a:accent5>
    <a:accent6>
      <a:srgbClr val="518B55"/>
    </a:accent6>
    <a:hlink>
      <a:srgbClr val="99FF33"/>
    </a:hlink>
    <a:folHlink>
      <a:srgbClr val="DDFFBB"/>
    </a:folHlink>
  </a:clrScheme>
  <a:fontScheme name="Office — klasyczny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203</Characters>
  <Application>Microsoft Office Word</Application>
  <DocSecurity>0</DocSecurity>
  <Lines>1</Lines>
  <Paragraphs>1</Paragraphs>
  <ScaleCrop>false</ScaleCrop>
  <Company>Nadleśnictwo Jagiełek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magdalena.polito</dc:creator>
  <cp:keywords/>
  <dc:description/>
  <cp:lastModifiedBy>magdalena.polito</cp:lastModifiedBy>
  <cp:revision>2</cp:revision>
  <dcterms:created xsi:type="dcterms:W3CDTF">2014-01-24T08:51:00Z</dcterms:created>
  <dcterms:modified xsi:type="dcterms:W3CDTF">2014-01-24T08:58:00Z</dcterms:modified>
</cp:coreProperties>
</file>